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2CADF">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sz w:val="28"/>
        </w:rPr>
      </w:pPr>
      <w:r>
        <w:rPr>
          <w:rFonts w:ascii="Times New Roman" w:hAnsi="Times New Roman"/>
          <w:sz w:val="28"/>
        </w:rPr>
        <w:t>АДМИНИСТРАЦИЯ МУНИЦИПАЛЬНОГО ОБРАЗОВАНИЯ</w:t>
      </w:r>
    </w:p>
    <w:p w14:paraId="28AD7E51">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sz w:val="28"/>
          <w:szCs w:val="20"/>
          <w:lang w:eastAsia="ru-RU"/>
        </w:rPr>
      </w:pPr>
      <w:r>
        <w:rPr>
          <w:rFonts w:ascii="Times New Roman" w:hAnsi="Times New Roman"/>
          <w:sz w:val="28"/>
        </w:rPr>
        <w:t>ГАНЬКОВСКОЕ СЕЛЬСКОЕ ПОСЕЛЕНИЕ</w:t>
      </w:r>
    </w:p>
    <w:p w14:paraId="22D3B0D6">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sz w:val="28"/>
        </w:rPr>
      </w:pPr>
      <w:r>
        <w:rPr>
          <w:rFonts w:ascii="Times New Roman" w:hAnsi="Times New Roman"/>
          <w:sz w:val="28"/>
        </w:rPr>
        <w:t>ТИХВИНСКОГО МУНИЦИПАЛЬНОГО РАЙОНА</w:t>
      </w:r>
    </w:p>
    <w:p w14:paraId="2E33B931">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r>
        <w:rPr>
          <w:rFonts w:ascii="Times New Roman" w:hAnsi="Times New Roman"/>
          <w:sz w:val="28"/>
        </w:rPr>
        <w:t>ЛЕНИНГРАДСКОЙ ОБЛАСТИ</w:t>
      </w:r>
    </w:p>
    <w:p w14:paraId="1154502A">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p>
    <w:p w14:paraId="6A941A0C">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p>
    <w:p w14:paraId="4EB82071">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p>
    <w:p w14:paraId="08C15FFA">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p>
    <w:p w14:paraId="7D8BB3E3">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p>
    <w:p w14:paraId="738102E6">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p>
    <w:p w14:paraId="37592013">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r>
        <w:rPr>
          <w:rFonts w:ascii="Times New Roman" w:hAnsi="Times New Roman"/>
          <w:b/>
          <w:sz w:val="32"/>
          <w:szCs w:val="32"/>
        </w:rPr>
        <w:t>ПРЕДВАРИТЕЛЬНЫЕ ИТОГИ</w:t>
      </w:r>
    </w:p>
    <w:p w14:paraId="71304FBE">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r>
        <w:rPr>
          <w:rFonts w:ascii="Times New Roman" w:hAnsi="Times New Roman"/>
          <w:b/>
          <w:sz w:val="32"/>
          <w:szCs w:val="32"/>
        </w:rPr>
        <w:t>СОЦИАЛЬНО-ЭКОНОМИЧЕСКОГО РАЗВИТИЯ</w:t>
      </w:r>
    </w:p>
    <w:p w14:paraId="657019DE">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40"/>
          <w:szCs w:val="40"/>
        </w:rPr>
      </w:pPr>
      <w:r>
        <w:rPr>
          <w:rFonts w:ascii="Times New Roman" w:hAnsi="Times New Roman"/>
          <w:b/>
          <w:sz w:val="40"/>
          <w:szCs w:val="40"/>
        </w:rPr>
        <w:t>ГАНЬКОВСКОГО СЕЛЬСКОГО ПОСЕЛЕНИЯ</w:t>
      </w:r>
    </w:p>
    <w:p w14:paraId="189D3E94">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r>
        <w:rPr>
          <w:rFonts w:ascii="Times New Roman" w:hAnsi="Times New Roman"/>
          <w:b/>
          <w:sz w:val="32"/>
          <w:szCs w:val="32"/>
        </w:rPr>
        <w:t>ЗА ИСТЕКШИЙ ПЕРИОД 202</w:t>
      </w:r>
      <w:r>
        <w:rPr>
          <w:rFonts w:hint="default" w:ascii="Times New Roman" w:hAnsi="Times New Roman"/>
          <w:b/>
          <w:sz w:val="32"/>
          <w:szCs w:val="32"/>
          <w:lang w:val="ru-RU"/>
        </w:rPr>
        <w:t>5</w:t>
      </w:r>
      <w:bookmarkStart w:id="1" w:name="_GoBack"/>
      <w:bookmarkEnd w:id="1"/>
      <w:r>
        <w:rPr>
          <w:rFonts w:ascii="Times New Roman" w:hAnsi="Times New Roman"/>
          <w:b/>
          <w:sz w:val="32"/>
          <w:szCs w:val="32"/>
        </w:rPr>
        <w:t xml:space="preserve"> года</w:t>
      </w:r>
    </w:p>
    <w:p w14:paraId="637680F1">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r>
        <w:rPr>
          <w:rFonts w:ascii="Times New Roman" w:hAnsi="Times New Roman"/>
          <w:b/>
          <w:sz w:val="32"/>
          <w:szCs w:val="32"/>
        </w:rPr>
        <w:t>И ОЖИДАЕМЫЕ ИТОГИ</w:t>
      </w:r>
    </w:p>
    <w:p w14:paraId="543D7AD6">
      <w:pPr>
        <w:pBdr>
          <w:top w:val="thinThickSmallGap" w:color="auto" w:sz="24" w:space="31"/>
          <w:left w:val="thinThickSmallGap" w:color="auto" w:sz="24" w:space="4"/>
          <w:bottom w:val="thickThinSmallGap" w:color="auto" w:sz="24" w:space="1"/>
          <w:right w:val="thickThinSmallGap" w:color="auto" w:sz="24" w:space="4"/>
        </w:pBdr>
        <w:jc w:val="center"/>
        <w:rPr>
          <w:rFonts w:ascii="Times New Roman" w:hAnsi="Times New Roman"/>
          <w:b/>
          <w:sz w:val="32"/>
          <w:szCs w:val="32"/>
        </w:rPr>
      </w:pPr>
      <w:r>
        <w:rPr>
          <w:rFonts w:ascii="Times New Roman" w:hAnsi="Times New Roman"/>
          <w:b/>
          <w:sz w:val="32"/>
          <w:szCs w:val="32"/>
        </w:rPr>
        <w:t>СОЦИАЛЬНО-ЭКОНОМИЧЕСКОГО РАЗВИТИЯ ЗА 2025 год</w:t>
      </w:r>
    </w:p>
    <w:p w14:paraId="559E430D">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337F255C">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2FC919E2">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50F2B650">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0A48F248">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2B83781E">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6DA3E712">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43E48504">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30CFBE73">
      <w:pPr>
        <w:pBdr>
          <w:top w:val="thinThickSmallGap" w:color="auto" w:sz="24" w:space="31"/>
          <w:left w:val="thinThickSmallGap" w:color="auto" w:sz="24" w:space="4"/>
          <w:bottom w:val="thickThinSmallGap" w:color="auto" w:sz="24" w:space="1"/>
          <w:right w:val="thickThinSmallGap" w:color="auto" w:sz="24" w:space="4"/>
        </w:pBdr>
        <w:rPr>
          <w:rFonts w:ascii="Times New Roman" w:hAnsi="Times New Roman"/>
          <w:b/>
          <w:sz w:val="32"/>
          <w:szCs w:val="32"/>
        </w:rPr>
      </w:pPr>
    </w:p>
    <w:p w14:paraId="2CCA0D02">
      <w:pPr>
        <w:spacing w:after="0" w:line="240" w:lineRule="auto"/>
        <w:jc w:val="both"/>
        <w:rPr>
          <w:rFonts w:ascii="Times New Roman" w:hAnsi="Times New Roman"/>
          <w:sz w:val="24"/>
          <w:szCs w:val="24"/>
        </w:rPr>
      </w:pPr>
    </w:p>
    <w:p w14:paraId="5E61C74A">
      <w:pPr>
        <w:spacing w:after="0" w:line="240" w:lineRule="auto"/>
        <w:jc w:val="both"/>
        <w:rPr>
          <w:rFonts w:ascii="Times New Roman" w:hAnsi="Times New Roman"/>
          <w:sz w:val="24"/>
          <w:szCs w:val="24"/>
        </w:rPr>
      </w:pPr>
    </w:p>
    <w:p w14:paraId="6827393F">
      <w:pPr>
        <w:spacing w:after="0" w:line="240" w:lineRule="auto"/>
        <w:jc w:val="both"/>
        <w:rPr>
          <w:rFonts w:ascii="Times New Roman" w:hAnsi="Times New Roman"/>
          <w:sz w:val="24"/>
          <w:szCs w:val="24"/>
        </w:rPr>
      </w:pPr>
    </w:p>
    <w:p w14:paraId="43CC1E26">
      <w:pPr>
        <w:spacing w:after="0" w:line="240" w:lineRule="auto"/>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 xml:space="preserve">Предварительные итоги </w:t>
      </w:r>
    </w:p>
    <w:p w14:paraId="08AD5FBD">
      <w:pPr>
        <w:spacing w:after="0" w:line="240" w:lineRule="auto"/>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социально-экономического развития Ганьковского сельского поселения за истекший период текущего финансового года и ожидаемые итоги социально- экономического развития за текущий финансовый год</w:t>
      </w:r>
    </w:p>
    <w:p w14:paraId="7E3E9785">
      <w:pPr>
        <w:shd w:val="clear" w:color="auto" w:fill="FFFFFF"/>
        <w:tabs>
          <w:tab w:val="left" w:pos="1134"/>
        </w:tabs>
        <w:spacing w:after="0" w:line="240" w:lineRule="auto"/>
        <w:ind w:firstLine="709"/>
        <w:jc w:val="both"/>
        <w:rPr>
          <w:rFonts w:ascii="Times New Roman" w:hAnsi="Times New Roman"/>
          <w:b/>
          <w:bCs/>
          <w:color w:val="0070C0"/>
          <w:sz w:val="28"/>
          <w:szCs w:val="28"/>
          <w:highlight w:val="yellow"/>
        </w:rPr>
      </w:pPr>
    </w:p>
    <w:p w14:paraId="6E739CD3">
      <w:pPr>
        <w:spacing w:after="0" w:line="240" w:lineRule="auto"/>
        <w:jc w:val="center"/>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t>Демографические показатели</w:t>
      </w:r>
    </w:p>
    <w:p w14:paraId="64542CE2">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На территории сельского поселения находится 30 населенных пунктов. Численность постоянного населения Ганьковского сельского поселения составила на 01.01.2025 г. 1137 человек.</w:t>
      </w:r>
    </w:p>
    <w:p w14:paraId="0C4AB90A">
      <w:pPr>
        <w:spacing w:after="0" w:line="240" w:lineRule="auto"/>
        <w:ind w:right="-83" w:firstLine="720"/>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По предварительной прогнозной оценке, ожидается, что численность поселения на 01.01.2026 года составит 1135 человек. </w:t>
      </w:r>
    </w:p>
    <w:p w14:paraId="29A96D6E">
      <w:pPr>
        <w:spacing w:after="0" w:line="240" w:lineRule="auto"/>
        <w:ind w:right="-83" w:firstLine="720"/>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По итогам 2025 года ожидается отрицательное сальдо миграции.</w:t>
      </w:r>
    </w:p>
    <w:p w14:paraId="63D7E2A9">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В 2026 – 2028 гг. развитие демографической ситуации в Ганьковском сельском поселении прогнозируется с учетом влияния сложившихся в последние годы тенденций рождаемости, смертности и миграции.</w:t>
      </w:r>
    </w:p>
    <w:p w14:paraId="6C1F5518">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Прогнозируется, что миграция населения с 2026 года перейдет в небольшой снижение.</w:t>
      </w:r>
    </w:p>
    <w:p w14:paraId="0910628C">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Возрастная структура населения поселения в прогнозном периоде также будет следовать сложившейся тенденции.</w:t>
      </w:r>
    </w:p>
    <w:p w14:paraId="54A14CD4">
      <w:pPr>
        <w:widowControl w:val="0"/>
        <w:autoSpaceDE w:val="0"/>
        <w:autoSpaceDN w:val="0"/>
        <w:adjustRightInd w:val="0"/>
        <w:spacing w:after="0" w:line="240" w:lineRule="auto"/>
        <w:ind w:right="-6"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Наряду с естественным движением населения, миграция является одним из основных факторов, оказывающих влияние на формирование численности и состава жителей муниципального образования. Всего по состоянию на 01.01.2025 г. выбыло с территории 30 человек, число прибывших 42 человека. Основными причинами миграции на территории Ганьковского сельского поселения, как и в ряде других населенных пунктов, являются обучение и трудоустройство. Следует отметить, что в отдельных населенных пунктах практически отсутствует постоянное население, только в летнее время население деревень формируется из сезонно проживающих и отдыхающих жителей. Таким образом, для поселения характерно сезонное колебание численности населения. В летние месяцы численность населения увеличивается.</w:t>
      </w:r>
    </w:p>
    <w:p w14:paraId="4B0D5527">
      <w:pPr>
        <w:shd w:val="clear" w:color="auto" w:fill="FFFFFF"/>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Основной задачей демографической политики должно стать сохранение и укрепление здоровья населения и института семьи.</w:t>
      </w:r>
    </w:p>
    <w:p w14:paraId="5988A7D6">
      <w:pPr>
        <w:shd w:val="clear" w:color="auto" w:fill="FFFFFF"/>
        <w:spacing w:after="0" w:line="240" w:lineRule="auto"/>
        <w:ind w:firstLine="709"/>
        <w:jc w:val="both"/>
        <w:rPr>
          <w:rFonts w:ascii="Times New Roman" w:hAnsi="Times New Roman" w:eastAsia="Times New Roman"/>
          <w:sz w:val="24"/>
          <w:szCs w:val="24"/>
          <w:lang w:eastAsia="ru-RU"/>
        </w:rPr>
      </w:pPr>
    </w:p>
    <w:p w14:paraId="6A9BA172">
      <w:pPr>
        <w:spacing w:after="0" w:line="240" w:lineRule="auto"/>
        <w:ind w:left="360"/>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Промышленное производство</w:t>
      </w:r>
    </w:p>
    <w:p w14:paraId="6F8D710C">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На территории Ганьковского сельского поселения крупных и средних промышленных предприятий не зарегистрировано.</w:t>
      </w:r>
    </w:p>
    <w:p w14:paraId="2036C303">
      <w:pPr>
        <w:spacing w:after="0" w:line="240" w:lineRule="auto"/>
        <w:ind w:firstLine="709"/>
        <w:jc w:val="both"/>
        <w:rPr>
          <w:rFonts w:ascii="Times New Roman" w:hAnsi="Times New Roman" w:eastAsia="Times New Roman"/>
          <w:sz w:val="24"/>
          <w:szCs w:val="24"/>
          <w:lang w:eastAsia="ru-RU"/>
        </w:rPr>
      </w:pPr>
    </w:p>
    <w:p w14:paraId="6FE4020F">
      <w:pPr>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t>Сельское хозяйство</w:t>
      </w:r>
    </w:p>
    <w:p w14:paraId="192FED97">
      <w:pPr>
        <w:widowControl w:val="0"/>
        <w:autoSpaceDE w:val="0"/>
        <w:autoSpaceDN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Государственная поддержка агропромышленного комплекса в прогнозном периоде определена в соответствии с постановлениями Правительства Ленинградской области от 29 декабря 2012 г. № 463 об утверждении Государственной программы Ленинградской области «Развитие сельского хозяйства Ленинградской области» (в ред. от 04.08.2022). Финансовая поддержка из областного бюджета предусматривается на производство зерна, мяса крупного рогатого скота, молока, сохранение плодородия земель, улучшение генофонда в растениеводстве и животноводстве, повышение трудового и кадрового потенциала. Предусматривается выделение бюджетных средств на субсидирование процентной ставки по привлеченным кредитам.</w:t>
      </w:r>
    </w:p>
    <w:p w14:paraId="5EBA824F">
      <w:pPr>
        <w:spacing w:after="0" w:line="240" w:lineRule="auto"/>
        <w:ind w:firstLine="720"/>
        <w:jc w:val="both"/>
        <w:rPr>
          <w:rFonts w:ascii="Times New Roman" w:hAnsi="Times New Roman"/>
          <w:color w:val="000000"/>
          <w:sz w:val="24"/>
          <w:szCs w:val="24"/>
        </w:rPr>
      </w:pPr>
      <w:r>
        <w:rPr>
          <w:color w:val="000000"/>
          <w:sz w:val="24"/>
          <w:szCs w:val="24"/>
        </w:rPr>
        <w:t xml:space="preserve"> </w:t>
      </w:r>
      <w:r>
        <w:rPr>
          <w:rFonts w:ascii="Times New Roman" w:hAnsi="Times New Roman"/>
          <w:color w:val="000000"/>
          <w:sz w:val="24"/>
          <w:szCs w:val="24"/>
        </w:rPr>
        <w:t xml:space="preserve">Администрацией Тихвинского района предоставляется субсидия в целях поддержки сельхозтоваропроизводителей Тихвинского района в рамках мероприятия «Поддержка развития агропромышленного комплекса Тихвинского района» муниципальной программы Тихвинского района «Развитие сельского хозяйства Тихвинского района». Субсидия предоставляется сельхозтоваропроизводителям - юридическим лицам и крестьянским (фермерским) хозяйствам в целях возмещения части затрат в связи с производством сельскохозяйственной продукции. </w:t>
      </w:r>
    </w:p>
    <w:p w14:paraId="34260357">
      <w:pPr>
        <w:spacing w:after="0" w:line="240"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В Ганьковском сельском поселении деятельность ведут:</w:t>
      </w:r>
    </w:p>
    <w:p w14:paraId="315AF700">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- 1 фермерское хозяйство;</w:t>
      </w:r>
    </w:p>
    <w:p w14:paraId="09C27F0A">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- 573 личное подсобное хозяйство (ЛПХ).</w:t>
      </w:r>
    </w:p>
    <w:p w14:paraId="0590536A">
      <w:pPr>
        <w:spacing w:after="0" w:line="240" w:lineRule="auto"/>
        <w:jc w:val="both"/>
        <w:rPr>
          <w:rFonts w:ascii="Times New Roman" w:hAnsi="Times New Roman" w:eastAsia="Times New Roman"/>
          <w:sz w:val="24"/>
          <w:szCs w:val="24"/>
          <w:lang w:eastAsia="ru-RU"/>
        </w:rPr>
      </w:pPr>
    </w:p>
    <w:p w14:paraId="0CDCC681">
      <w:pPr>
        <w:spacing w:after="0" w:line="240" w:lineRule="auto"/>
        <w:jc w:val="center"/>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Строительство</w:t>
      </w:r>
    </w:p>
    <w:p w14:paraId="0CB7F0CC">
      <w:pPr>
        <w:tabs>
          <w:tab w:val="left" w:pos="4450"/>
        </w:tabs>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На территории Ганьковского поселения ввод жилых домов в 2026 – 2028 гг. прогнозируется за счёт дачного и индивидуального жилищного строительства.</w:t>
      </w:r>
    </w:p>
    <w:p w14:paraId="079D82DA">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Планируется строительство газовой котельной.</w:t>
      </w:r>
    </w:p>
    <w:p w14:paraId="40B19646">
      <w:pPr>
        <w:tabs>
          <w:tab w:val="left" w:pos="4290"/>
        </w:tabs>
        <w:spacing w:after="0" w:line="240" w:lineRule="auto"/>
        <w:jc w:val="center"/>
        <w:rPr>
          <w:rFonts w:ascii="Times New Roman" w:hAnsi="Times New Roman"/>
          <w:color w:val="000000"/>
          <w:sz w:val="24"/>
          <w:szCs w:val="24"/>
        </w:rPr>
      </w:pPr>
    </w:p>
    <w:p w14:paraId="77DED44B">
      <w:pPr>
        <w:tabs>
          <w:tab w:val="left" w:pos="4290"/>
        </w:tabs>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Транспорт</w:t>
      </w:r>
    </w:p>
    <w:p w14:paraId="3A832B6C">
      <w:pPr>
        <w:tabs>
          <w:tab w:val="left" w:pos="4290"/>
        </w:tabs>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Протяженность автомобильных дорог в границах населенных пунктов Ганьковского сельского поселения составляет 53,12 км.</w:t>
      </w:r>
    </w:p>
    <w:p w14:paraId="5525908C">
      <w:pPr>
        <w:tabs>
          <w:tab w:val="left" w:pos="4290"/>
        </w:tabs>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Пассажирские перевозки по территории поселения осуществляют 2 перевозчика, по регулируемым тарифам. Социально защищенные категории граждан пользуются едиными социальными проездными билетами на основе бесконтактных пластиковых карт. По оценке в прогнозируемый период количество автоперевозчиков и социальных маршрутов не изменится.</w:t>
      </w:r>
    </w:p>
    <w:p w14:paraId="1D271B2F">
      <w:pPr>
        <w:tabs>
          <w:tab w:val="left" w:pos="4290"/>
        </w:tabs>
        <w:spacing w:after="0" w:line="240" w:lineRule="auto"/>
        <w:ind w:firstLine="720"/>
        <w:jc w:val="both"/>
        <w:rPr>
          <w:rFonts w:ascii="Times New Roman" w:hAnsi="Times New Roman"/>
          <w:color w:val="000000"/>
          <w:sz w:val="24"/>
          <w:szCs w:val="24"/>
        </w:rPr>
      </w:pPr>
    </w:p>
    <w:p w14:paraId="004AA921">
      <w:pPr>
        <w:tabs>
          <w:tab w:val="left" w:pos="4290"/>
        </w:tabs>
        <w:spacing w:after="0" w:line="240" w:lineRule="auto"/>
        <w:ind w:firstLine="720"/>
        <w:jc w:val="center"/>
        <w:rPr>
          <w:rFonts w:ascii="Times New Roman" w:hAnsi="Times New Roman"/>
          <w:b/>
          <w:color w:val="000000"/>
          <w:sz w:val="24"/>
          <w:szCs w:val="24"/>
        </w:rPr>
      </w:pPr>
      <w:r>
        <w:rPr>
          <w:rFonts w:ascii="Times New Roman" w:hAnsi="Times New Roman"/>
          <w:b/>
          <w:color w:val="000000"/>
          <w:sz w:val="24"/>
          <w:szCs w:val="24"/>
        </w:rPr>
        <w:t>Потребительский рынок</w:t>
      </w:r>
    </w:p>
    <w:p w14:paraId="4B46FC4D">
      <w:pPr>
        <w:tabs>
          <w:tab w:val="left" w:pos="4290"/>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Потребительский рынок Ганьковского сельского поселения призван обеспечивать условия для удовлетворения спроса населения на потребительские товары и услуги.</w:t>
      </w:r>
    </w:p>
    <w:p w14:paraId="7D4A0158">
      <w:pPr>
        <w:pStyle w:val="10"/>
        <w:ind w:firstLine="709"/>
        <w:jc w:val="both"/>
      </w:pPr>
      <w:r>
        <w:t>В настоящее время на территории Ганьковского сельского поселения свою деятельность осуществляется следующие виды услуг:</w:t>
      </w:r>
    </w:p>
    <w:p w14:paraId="1B22805C">
      <w:pPr>
        <w:pStyle w:val="10"/>
        <w:widowControl w:val="0"/>
        <w:numPr>
          <w:ilvl w:val="0"/>
          <w:numId w:val="1"/>
        </w:numPr>
        <w:tabs>
          <w:tab w:val="left" w:pos="272"/>
        </w:tabs>
        <w:jc w:val="both"/>
      </w:pPr>
      <w:r>
        <w:t>7 магазинов, торгующие продуктами и промышленными товарами;</w:t>
      </w:r>
    </w:p>
    <w:p w14:paraId="15A318C6">
      <w:pPr>
        <w:pStyle w:val="10"/>
        <w:widowControl w:val="0"/>
        <w:numPr>
          <w:ilvl w:val="0"/>
          <w:numId w:val="1"/>
        </w:numPr>
        <w:tabs>
          <w:tab w:val="left" w:pos="272"/>
        </w:tabs>
        <w:jc w:val="both"/>
      </w:pPr>
      <w:r>
        <w:t>ОЗОН</w:t>
      </w:r>
    </w:p>
    <w:p w14:paraId="2CFA251E">
      <w:pPr>
        <w:pStyle w:val="10"/>
        <w:widowControl w:val="0"/>
        <w:numPr>
          <w:ilvl w:val="0"/>
          <w:numId w:val="1"/>
        </w:numPr>
        <w:tabs>
          <w:tab w:val="left" w:pos="272"/>
        </w:tabs>
        <w:jc w:val="both"/>
      </w:pPr>
      <w:r>
        <w:t>Обработка  (распиловка) и заготовка древесины</w:t>
      </w:r>
    </w:p>
    <w:p w14:paraId="136ECACA">
      <w:pPr>
        <w:pStyle w:val="10"/>
        <w:widowControl w:val="0"/>
        <w:tabs>
          <w:tab w:val="left" w:pos="272"/>
        </w:tabs>
        <w:jc w:val="both"/>
      </w:pPr>
    </w:p>
    <w:p w14:paraId="1C666786">
      <w:pPr>
        <w:pStyle w:val="10"/>
        <w:widowControl w:val="0"/>
        <w:tabs>
          <w:tab w:val="left" w:pos="272"/>
        </w:tabs>
        <w:ind w:firstLine="709"/>
        <w:jc w:val="both"/>
      </w:pPr>
      <w:r>
        <w:t>Услуги по ремонту одежды, обуви и парикмахерские услуги жители Ганьковского сельского поселения получают в г. Тихвин.</w:t>
      </w:r>
    </w:p>
    <w:p w14:paraId="1F9E45BD">
      <w:pPr>
        <w:pStyle w:val="10"/>
        <w:ind w:firstLine="709"/>
        <w:jc w:val="both"/>
      </w:pPr>
      <w:r>
        <w:t>На территории Ганьковского сельского поселения отсутствует аптечный пункт, банкомат с функциями приема и выдачи денежных средств.</w:t>
      </w:r>
    </w:p>
    <w:p w14:paraId="15E63722">
      <w:pPr>
        <w:pStyle w:val="10"/>
        <w:ind w:right="-6" w:firstLine="709"/>
        <w:jc w:val="both"/>
      </w:pPr>
      <w:r>
        <w:t xml:space="preserve">Основной проблемой в сфере потребительского рынка является снижение покупательской способности населения из-за роста инфляции и сокращения реальных доходов населения. </w:t>
      </w:r>
    </w:p>
    <w:p w14:paraId="3BDDD42A">
      <w:pPr>
        <w:pStyle w:val="10"/>
        <w:ind w:right="-6" w:firstLine="709"/>
        <w:jc w:val="both"/>
      </w:pPr>
    </w:p>
    <w:p w14:paraId="48212DAB">
      <w:pPr>
        <w:tabs>
          <w:tab w:val="left" w:pos="2360"/>
        </w:tabs>
        <w:spacing w:after="0" w:line="240" w:lineRule="auto"/>
        <w:ind w:firstLine="720"/>
        <w:jc w:val="center"/>
        <w:rPr>
          <w:rFonts w:ascii="Times New Roman" w:hAnsi="Times New Roman"/>
          <w:b/>
          <w:color w:val="000000"/>
          <w:sz w:val="24"/>
          <w:szCs w:val="24"/>
        </w:rPr>
      </w:pPr>
      <w:r>
        <w:rPr>
          <w:rFonts w:ascii="Times New Roman" w:hAnsi="Times New Roman"/>
          <w:b/>
          <w:color w:val="000000"/>
          <w:sz w:val="24"/>
          <w:szCs w:val="24"/>
        </w:rPr>
        <w:t>Малое и среднее предпринимательство</w:t>
      </w:r>
    </w:p>
    <w:p w14:paraId="3BE1CDDE">
      <w:pPr>
        <w:spacing w:after="0" w:line="240" w:lineRule="auto"/>
        <w:ind w:firstLine="708"/>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На территории поселения в сфере малого бизнеса зарегистрировано 11 микропредприятий. В 2025 году также работают 4 индивидуальных предпринимателей, осуществляющих торговлю продуктами питания и промышленными товарами.</w:t>
      </w:r>
    </w:p>
    <w:p w14:paraId="60A381D5">
      <w:pPr>
        <w:spacing w:after="0" w:line="240" w:lineRule="auto"/>
        <w:ind w:firstLine="708"/>
        <w:jc w:val="both"/>
        <w:rPr>
          <w:rFonts w:ascii="Times New Roman" w:hAnsi="Times New Roman" w:eastAsia="Times New Roman"/>
          <w:sz w:val="24"/>
          <w:szCs w:val="24"/>
          <w:lang w:eastAsia="ru-RU"/>
        </w:rPr>
      </w:pPr>
    </w:p>
    <w:p w14:paraId="7BB8AD74">
      <w:pPr>
        <w:tabs>
          <w:tab w:val="left" w:pos="4230"/>
        </w:tabs>
        <w:spacing w:after="0" w:line="240" w:lineRule="auto"/>
        <w:ind w:firstLine="720"/>
        <w:jc w:val="both"/>
        <w:rPr>
          <w:rFonts w:ascii="Times New Roman" w:hAnsi="Times New Roman"/>
          <w:b/>
          <w:color w:val="000000"/>
          <w:sz w:val="24"/>
          <w:szCs w:val="24"/>
        </w:rPr>
      </w:pPr>
      <w:r>
        <w:rPr>
          <w:rFonts w:ascii="Times New Roman" w:hAnsi="Times New Roman"/>
          <w:color w:val="000000"/>
          <w:sz w:val="24"/>
          <w:szCs w:val="24"/>
        </w:rPr>
        <w:tab/>
      </w:r>
      <w:r>
        <w:rPr>
          <w:rFonts w:ascii="Times New Roman" w:hAnsi="Times New Roman"/>
          <w:b/>
          <w:color w:val="000000"/>
          <w:sz w:val="24"/>
          <w:szCs w:val="24"/>
        </w:rPr>
        <w:t xml:space="preserve">Инвестиции   </w:t>
      </w:r>
    </w:p>
    <w:p w14:paraId="76E33C9D">
      <w:pPr>
        <w:pStyle w:val="10"/>
        <w:ind w:firstLine="709"/>
        <w:jc w:val="both"/>
      </w:pPr>
      <w:r>
        <w:t xml:space="preserve">По источникам финансирования инвестиции в муниципальном образовании могут формироваться в значительной степени за счет межбюджетных трансфертов и субсидий, так как на территории Ганьковского сельского поселения отсутствуют потенциальные инвесторы - крупные и средние предприятия. </w:t>
      </w:r>
    </w:p>
    <w:p w14:paraId="06994E72">
      <w:pPr>
        <w:pStyle w:val="10"/>
        <w:ind w:firstLine="709"/>
        <w:jc w:val="both"/>
        <w:rPr>
          <w:rFonts w:eastAsia="Calibri"/>
          <w:bCs/>
        </w:rPr>
      </w:pPr>
      <w:r>
        <w:t xml:space="preserve">Финансирование за счет средств бюджета Ганьковского сельского поселения в основном будет осуществляться в рамках муниципальных программ, реализуемых на территории поселения. </w:t>
      </w:r>
      <w:bookmarkStart w:id="0" w:name="3znysh7" w:colFirst="0" w:colLast="0"/>
      <w:bookmarkEnd w:id="0"/>
      <w:r>
        <w:t>Также планируется привлекать средства федерального и областного бюджетов по проектам «Формирование комфортной городской среды». Реализация запланированных мероприятий в рамках № 10-оз «О содействии участию населения в осуществлении местного самоуправления в Ленинградской области»</w:t>
      </w:r>
      <w:r>
        <w:rPr>
          <w:rFonts w:eastAsia="Calibri"/>
          <w:bCs/>
        </w:rPr>
        <w:t>.</w:t>
      </w:r>
    </w:p>
    <w:p w14:paraId="4263252F">
      <w:pPr>
        <w:pStyle w:val="10"/>
        <w:jc w:val="both"/>
        <w:rPr>
          <w:rFonts w:eastAsia="Calibri"/>
          <w:bCs/>
        </w:rPr>
      </w:pPr>
    </w:p>
    <w:p w14:paraId="709657A2">
      <w:pPr>
        <w:spacing w:after="0" w:line="240" w:lineRule="auto"/>
        <w:ind w:firstLine="720"/>
        <w:jc w:val="center"/>
        <w:rPr>
          <w:rFonts w:ascii="Times New Roman" w:hAnsi="Times New Roman"/>
          <w:b/>
          <w:color w:val="000000"/>
          <w:sz w:val="24"/>
          <w:szCs w:val="24"/>
        </w:rPr>
      </w:pPr>
      <w:r>
        <w:rPr>
          <w:rFonts w:ascii="Times New Roman" w:hAnsi="Times New Roman"/>
          <w:b/>
          <w:color w:val="000000"/>
          <w:sz w:val="24"/>
          <w:szCs w:val="24"/>
        </w:rPr>
        <w:t>Рынок труда и занятость населения</w:t>
      </w:r>
    </w:p>
    <w:p w14:paraId="52ACE0B4">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Ситуация на рынке труда определяется демографическими тенденциями, работой крупных и средних предприятий района, развитием сферы малого и среднего бизнеса, а незанятого населения.</w:t>
      </w:r>
      <w:r>
        <w:t xml:space="preserve"> </w:t>
      </w:r>
    </w:p>
    <w:p w14:paraId="4D354729">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Уровень зарегистрированной безработицы на 01.01.2025 составил 0,2 % от экономически активного населения Ганьковского сельского поселения.</w:t>
      </w:r>
    </w:p>
    <w:p w14:paraId="0FF7CDB5">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По оценке в 2025 году ситуация на рынке труда останется на прежнем уровне и составит 0,2 %. В прогнозном периоде к 2028 году уровень безработицы не изменится и составит 0,2 %.</w:t>
      </w:r>
    </w:p>
    <w:p w14:paraId="309B5C1E">
      <w:pPr>
        <w:spacing w:after="0" w:line="240" w:lineRule="auto"/>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ab/>
      </w:r>
      <w:r>
        <w:rPr>
          <w:rFonts w:ascii="Times New Roman" w:hAnsi="Times New Roman" w:eastAsia="Times New Roman"/>
          <w:sz w:val="24"/>
          <w:szCs w:val="24"/>
          <w:lang w:eastAsia="ru-RU"/>
        </w:rPr>
        <w:t xml:space="preserve"> Рост заработной платы, по-прежнему, является важнейшим фактором обеспечения повышения жизненного уровня населения.</w:t>
      </w:r>
    </w:p>
    <w:p w14:paraId="5329A9B0">
      <w:pPr>
        <w:pStyle w:val="11"/>
        <w:shd w:val="clear" w:color="auto" w:fill="auto"/>
        <w:tabs>
          <w:tab w:val="left" w:pos="1354"/>
        </w:tabs>
        <w:spacing w:after="0" w:line="240" w:lineRule="auto"/>
        <w:ind w:firstLine="709"/>
        <w:jc w:val="both"/>
        <w:rPr>
          <w:color w:val="000000"/>
          <w:sz w:val="24"/>
          <w:szCs w:val="24"/>
          <w:lang w:eastAsia="ru-RU" w:bidi="ru-RU"/>
        </w:rPr>
      </w:pPr>
      <w:r>
        <w:rPr>
          <w:color w:val="000000"/>
          <w:sz w:val="24"/>
          <w:szCs w:val="24"/>
          <w:lang w:eastAsia="ru-RU" w:bidi="ru-RU"/>
        </w:rPr>
        <w:t>Прогнозируется повышение номинальной среднемесячной заработной платы в 2026 / 2028 году до размера 44 848,00 /47 270,00рублей.</w:t>
      </w:r>
    </w:p>
    <w:p w14:paraId="005FA706">
      <w:pPr>
        <w:pStyle w:val="11"/>
        <w:shd w:val="clear" w:color="auto" w:fill="auto"/>
        <w:tabs>
          <w:tab w:val="left" w:pos="1354"/>
        </w:tabs>
        <w:spacing w:after="0" w:line="240" w:lineRule="auto"/>
        <w:ind w:firstLine="709"/>
        <w:jc w:val="both"/>
        <w:rPr>
          <w:color w:val="000000"/>
          <w:sz w:val="24"/>
          <w:szCs w:val="24"/>
          <w:lang w:eastAsia="ru-RU" w:bidi="ru-RU"/>
        </w:rPr>
      </w:pPr>
      <w:r>
        <w:rPr>
          <w:color w:val="000000"/>
          <w:sz w:val="24"/>
          <w:szCs w:val="24"/>
          <w:lang w:eastAsia="ru-RU" w:bidi="ru-RU"/>
        </w:rPr>
        <w:t xml:space="preserve"> Граждане, находящиеся под риском увольнения независимо от места житель</w:t>
      </w:r>
      <w:r>
        <w:rPr>
          <w:color w:val="000000"/>
          <w:sz w:val="24"/>
          <w:szCs w:val="24"/>
          <w:lang w:eastAsia="ru-RU" w:bidi="ru-RU"/>
        </w:rPr>
        <w:softHyphen/>
      </w:r>
      <w:r>
        <w:rPr>
          <w:color w:val="000000"/>
          <w:sz w:val="24"/>
          <w:szCs w:val="24"/>
          <w:lang w:eastAsia="ru-RU" w:bidi="ru-RU"/>
        </w:rPr>
        <w:t>ства, могут обратиться в любой центр занятости Ленинградской области за получением услуг, которые раньше были доступны только безработным гражданам: помощь в вы</w:t>
      </w:r>
      <w:r>
        <w:rPr>
          <w:color w:val="000000"/>
          <w:sz w:val="24"/>
          <w:szCs w:val="24"/>
          <w:lang w:eastAsia="ru-RU" w:bidi="ru-RU"/>
        </w:rPr>
        <w:softHyphen/>
      </w:r>
      <w:r>
        <w:rPr>
          <w:color w:val="000000"/>
          <w:sz w:val="24"/>
          <w:szCs w:val="24"/>
          <w:lang w:eastAsia="ru-RU" w:bidi="ru-RU"/>
        </w:rPr>
        <w:t>боре новой профессии, составлении резюме, снятия психологической напряжённости и возможность пройти обу</w:t>
      </w:r>
      <w:r>
        <w:rPr>
          <w:color w:val="000000"/>
          <w:sz w:val="24"/>
          <w:szCs w:val="24"/>
          <w:lang w:eastAsia="ru-RU" w:bidi="ru-RU"/>
        </w:rPr>
        <w:softHyphen/>
      </w:r>
      <w:r>
        <w:rPr>
          <w:color w:val="000000"/>
          <w:sz w:val="24"/>
          <w:szCs w:val="24"/>
          <w:lang w:eastAsia="ru-RU" w:bidi="ru-RU"/>
        </w:rPr>
        <w:t>чение по направлению службы занятости.</w:t>
      </w:r>
    </w:p>
    <w:p w14:paraId="70973BBC">
      <w:pPr>
        <w:pStyle w:val="11"/>
        <w:shd w:val="clear" w:color="auto" w:fill="auto"/>
        <w:tabs>
          <w:tab w:val="left" w:pos="1354"/>
        </w:tabs>
        <w:spacing w:after="0" w:line="240" w:lineRule="auto"/>
        <w:ind w:firstLine="709"/>
        <w:jc w:val="both"/>
        <w:rPr>
          <w:color w:val="000000"/>
          <w:sz w:val="24"/>
          <w:szCs w:val="24"/>
          <w:lang w:eastAsia="ru-RU" w:bidi="ru-RU"/>
        </w:rPr>
      </w:pPr>
    </w:p>
    <w:p w14:paraId="00627B0F">
      <w:pPr>
        <w:tabs>
          <w:tab w:val="left" w:pos="1418"/>
        </w:tabs>
        <w:ind w:firstLine="709"/>
        <w:jc w:val="center"/>
        <w:rPr>
          <w:rFonts w:ascii="Times New Roman" w:hAnsi="Times New Roman"/>
          <w:sz w:val="24"/>
          <w:szCs w:val="24"/>
        </w:rPr>
      </w:pPr>
    </w:p>
    <w:sectPr>
      <w:pgSz w:w="11906" w:h="16838"/>
      <w:pgMar w:top="1134" w:right="850" w:bottom="567"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175686"/>
    <w:multiLevelType w:val="multilevel"/>
    <w:tmpl w:val="53175686"/>
    <w:lvl w:ilvl="0" w:tentative="0">
      <w:start w:val="1"/>
      <w:numFmt w:val="bullet"/>
      <w:lvlText w:val="-"/>
      <w:lvlJc w:val="left"/>
      <w:pPr>
        <w:ind w:left="0" w:firstLine="0"/>
      </w:pPr>
      <w:rPr>
        <w:rFonts w:ascii="Times New Roman" w:hAnsi="Times New Roman" w:eastAsia="Times New Roman" w:cs="Times New Roman"/>
        <w:b w:val="0"/>
        <w:i w:val="0"/>
        <w:smallCaps w:val="0"/>
        <w:strike w:val="0"/>
        <w:color w:val="000000"/>
        <w:sz w:val="28"/>
        <w:szCs w:val="28"/>
        <w:u w:val="none"/>
        <w:shd w:val="clear" w:color="auto" w:fill="auto"/>
        <w:vertAlign w:val="baseline"/>
      </w:rPr>
    </w:lvl>
    <w:lvl w:ilvl="1"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2"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3"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4"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5"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6"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7"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lvl w:ilvl="8" w:tentative="0">
      <w:start w:val="1"/>
      <w:numFmt w:val="decimal"/>
      <w:lvlText w:val=""/>
      <w:lvlJc w:val="left"/>
      <w:pPr>
        <w:ind w:left="0" w:firstLine="0"/>
      </w:pPr>
      <w:rPr>
        <w:rFonts w:ascii="Times New Roman" w:hAnsi="Times New Roman" w:eastAsia="Times New Roman" w:cs="Times New Roman"/>
        <w:b w:val="0"/>
        <w:i w:val="0"/>
        <w:smallCaps w:val="0"/>
        <w:strike w:val="0"/>
        <w:color w:val="000000"/>
        <w:sz w:val="20"/>
        <w:szCs w:val="20"/>
        <w:u w:val="none"/>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5C0"/>
    <w:rsid w:val="000035DB"/>
    <w:rsid w:val="00014832"/>
    <w:rsid w:val="00096423"/>
    <w:rsid w:val="000A37FF"/>
    <w:rsid w:val="000B5527"/>
    <w:rsid w:val="000D25CA"/>
    <w:rsid w:val="000F17CC"/>
    <w:rsid w:val="00100831"/>
    <w:rsid w:val="00116926"/>
    <w:rsid w:val="001217B1"/>
    <w:rsid w:val="00161211"/>
    <w:rsid w:val="00166807"/>
    <w:rsid w:val="001720A5"/>
    <w:rsid w:val="001744E8"/>
    <w:rsid w:val="001814DD"/>
    <w:rsid w:val="001C378F"/>
    <w:rsid w:val="001C4674"/>
    <w:rsid w:val="001D3DE3"/>
    <w:rsid w:val="001E2F6B"/>
    <w:rsid w:val="001E393A"/>
    <w:rsid w:val="001E66FB"/>
    <w:rsid w:val="001F2AEF"/>
    <w:rsid w:val="00203335"/>
    <w:rsid w:val="00252815"/>
    <w:rsid w:val="00276AEA"/>
    <w:rsid w:val="00284424"/>
    <w:rsid w:val="002C7421"/>
    <w:rsid w:val="002D4F01"/>
    <w:rsid w:val="002E33A0"/>
    <w:rsid w:val="0031777A"/>
    <w:rsid w:val="00330E62"/>
    <w:rsid w:val="00385144"/>
    <w:rsid w:val="0038633A"/>
    <w:rsid w:val="003B5AF1"/>
    <w:rsid w:val="003C3EFB"/>
    <w:rsid w:val="003C4DF9"/>
    <w:rsid w:val="003F4B6B"/>
    <w:rsid w:val="00417019"/>
    <w:rsid w:val="00435223"/>
    <w:rsid w:val="0047060F"/>
    <w:rsid w:val="0048527A"/>
    <w:rsid w:val="00490F87"/>
    <w:rsid w:val="00495C32"/>
    <w:rsid w:val="004B2319"/>
    <w:rsid w:val="004D0DAD"/>
    <w:rsid w:val="00505A9E"/>
    <w:rsid w:val="00506D17"/>
    <w:rsid w:val="00514719"/>
    <w:rsid w:val="005510CF"/>
    <w:rsid w:val="0056127B"/>
    <w:rsid w:val="00562869"/>
    <w:rsid w:val="0057724D"/>
    <w:rsid w:val="005851A1"/>
    <w:rsid w:val="00586A2A"/>
    <w:rsid w:val="005B60B2"/>
    <w:rsid w:val="005C0EE8"/>
    <w:rsid w:val="005F1301"/>
    <w:rsid w:val="005F43C2"/>
    <w:rsid w:val="006002B9"/>
    <w:rsid w:val="00641763"/>
    <w:rsid w:val="007335AE"/>
    <w:rsid w:val="00743A71"/>
    <w:rsid w:val="00751284"/>
    <w:rsid w:val="007B3D23"/>
    <w:rsid w:val="007F688B"/>
    <w:rsid w:val="007F7094"/>
    <w:rsid w:val="008175C1"/>
    <w:rsid w:val="00832ADD"/>
    <w:rsid w:val="008527F8"/>
    <w:rsid w:val="00876D1E"/>
    <w:rsid w:val="00890352"/>
    <w:rsid w:val="008A099F"/>
    <w:rsid w:val="008C5114"/>
    <w:rsid w:val="008C53A2"/>
    <w:rsid w:val="009215C7"/>
    <w:rsid w:val="00931CD3"/>
    <w:rsid w:val="00931DEB"/>
    <w:rsid w:val="00937CC5"/>
    <w:rsid w:val="00940D28"/>
    <w:rsid w:val="009465C0"/>
    <w:rsid w:val="009547B4"/>
    <w:rsid w:val="00961E41"/>
    <w:rsid w:val="00992BA0"/>
    <w:rsid w:val="00996980"/>
    <w:rsid w:val="009B67FF"/>
    <w:rsid w:val="009C185B"/>
    <w:rsid w:val="009D26EE"/>
    <w:rsid w:val="009D7CE6"/>
    <w:rsid w:val="009E4245"/>
    <w:rsid w:val="009F02E2"/>
    <w:rsid w:val="00A02CB2"/>
    <w:rsid w:val="00A102AF"/>
    <w:rsid w:val="00A15A51"/>
    <w:rsid w:val="00A3022E"/>
    <w:rsid w:val="00A306F3"/>
    <w:rsid w:val="00A63BB5"/>
    <w:rsid w:val="00A92025"/>
    <w:rsid w:val="00A94DF0"/>
    <w:rsid w:val="00AE0EDF"/>
    <w:rsid w:val="00AE6486"/>
    <w:rsid w:val="00AF0C97"/>
    <w:rsid w:val="00B07074"/>
    <w:rsid w:val="00B27A67"/>
    <w:rsid w:val="00B476A1"/>
    <w:rsid w:val="00B555B2"/>
    <w:rsid w:val="00BB41FD"/>
    <w:rsid w:val="00C15FD2"/>
    <w:rsid w:val="00C375CC"/>
    <w:rsid w:val="00C410BB"/>
    <w:rsid w:val="00C44C6B"/>
    <w:rsid w:val="00CB1C10"/>
    <w:rsid w:val="00CC6687"/>
    <w:rsid w:val="00CD56C9"/>
    <w:rsid w:val="00CF7758"/>
    <w:rsid w:val="00D12016"/>
    <w:rsid w:val="00D17898"/>
    <w:rsid w:val="00D36145"/>
    <w:rsid w:val="00D3785F"/>
    <w:rsid w:val="00D5025F"/>
    <w:rsid w:val="00D6418B"/>
    <w:rsid w:val="00D77CB8"/>
    <w:rsid w:val="00DA60B3"/>
    <w:rsid w:val="00DB234C"/>
    <w:rsid w:val="00DD60B4"/>
    <w:rsid w:val="00DE6C7F"/>
    <w:rsid w:val="00DF0E42"/>
    <w:rsid w:val="00DF2FF2"/>
    <w:rsid w:val="00DF3542"/>
    <w:rsid w:val="00E140CF"/>
    <w:rsid w:val="00E220D4"/>
    <w:rsid w:val="00E4033B"/>
    <w:rsid w:val="00E41B4D"/>
    <w:rsid w:val="00E51DBB"/>
    <w:rsid w:val="00E56D74"/>
    <w:rsid w:val="00E635A3"/>
    <w:rsid w:val="00E7050C"/>
    <w:rsid w:val="00E73700"/>
    <w:rsid w:val="00E93D25"/>
    <w:rsid w:val="00E96C66"/>
    <w:rsid w:val="00F03E70"/>
    <w:rsid w:val="00F31687"/>
    <w:rsid w:val="00F4425E"/>
    <w:rsid w:val="00F771D9"/>
    <w:rsid w:val="00F8721A"/>
    <w:rsid w:val="00FF4DA7"/>
    <w:rsid w:val="12A3692D"/>
    <w:rsid w:val="3E5411C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99" w:semiHidden="0" w:name="List Paragraph"/>
  </w:latentStyles>
  <w:style w:type="paragraph" w:default="1" w:styleId="1">
    <w:name w:val="Normal"/>
    <w:qFormat/>
    <w:uiPriority w:val="0"/>
    <w:pPr>
      <w:spacing w:after="160" w:line="256" w:lineRule="auto"/>
    </w:pPr>
    <w:rPr>
      <w:rFonts w:ascii="Calibri" w:hAnsi="Calibri" w:eastAsia="Calibri" w:cs="Times New Roman"/>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pPr>
      <w:spacing w:after="0" w:line="240" w:lineRule="auto"/>
    </w:pPr>
    <w:rPr>
      <w:rFonts w:ascii="Segoe UI" w:hAnsi="Segoe UI" w:cs="Segoe UI"/>
      <w:sz w:val="18"/>
      <w:szCs w:val="18"/>
    </w:rPr>
  </w:style>
  <w:style w:type="paragraph" w:styleId="5">
    <w:name w:val="No Spacing"/>
    <w:qFormat/>
    <w:uiPriority w:val="1"/>
    <w:pPr>
      <w:spacing w:after="0" w:line="240" w:lineRule="auto"/>
    </w:pPr>
    <w:rPr>
      <w:rFonts w:ascii="Calibri" w:hAnsi="Calibri" w:eastAsia="Calibri" w:cs="Times New Roman"/>
      <w:sz w:val="22"/>
      <w:szCs w:val="22"/>
      <w:lang w:val="ru-RU" w:eastAsia="en-US" w:bidi="ar-SA"/>
    </w:rPr>
  </w:style>
  <w:style w:type="paragraph" w:styleId="6">
    <w:name w:val="List Paragraph"/>
    <w:basedOn w:val="1"/>
    <w:qFormat/>
    <w:uiPriority w:val="99"/>
    <w:pPr>
      <w:ind w:left="720"/>
      <w:contextualSpacing/>
    </w:pPr>
  </w:style>
  <w:style w:type="character" w:customStyle="1" w:styleId="7">
    <w:name w:val="Обычн Знак"/>
    <w:link w:val="8"/>
    <w:locked/>
    <w:uiPriority w:val="99"/>
  </w:style>
  <w:style w:type="paragraph" w:customStyle="1" w:styleId="8">
    <w:name w:val="Обычн"/>
    <w:link w:val="7"/>
    <w:qFormat/>
    <w:uiPriority w:val="99"/>
    <w:pPr>
      <w:widowControl w:val="0"/>
      <w:spacing w:after="0" w:line="240" w:lineRule="auto"/>
    </w:pPr>
    <w:rPr>
      <w:rFonts w:asciiTheme="minorHAnsi" w:hAnsiTheme="minorHAnsi" w:eastAsiaTheme="minorHAnsi" w:cstheme="minorBidi"/>
      <w:sz w:val="22"/>
      <w:szCs w:val="22"/>
      <w:lang w:val="ru-RU" w:eastAsia="en-US" w:bidi="ar-SA"/>
    </w:rPr>
  </w:style>
  <w:style w:type="character" w:customStyle="1" w:styleId="9">
    <w:name w:val="Текст выноски Знак"/>
    <w:basedOn w:val="2"/>
    <w:link w:val="4"/>
    <w:semiHidden/>
    <w:uiPriority w:val="99"/>
    <w:rPr>
      <w:rFonts w:ascii="Segoe UI" w:hAnsi="Segoe UI" w:eastAsia="Calibri" w:cs="Segoe UI"/>
      <w:sz w:val="18"/>
      <w:szCs w:val="18"/>
    </w:rPr>
  </w:style>
  <w:style w:type="paragraph" w:customStyle="1" w:styleId="10">
    <w:name w:val="Обычный1"/>
    <w:qFormat/>
    <w:uiPriority w:val="0"/>
    <w:pPr>
      <w:spacing w:after="0" w:line="240" w:lineRule="auto"/>
      <w:jc w:val="center"/>
    </w:pPr>
    <w:rPr>
      <w:rFonts w:ascii="Times New Roman" w:hAnsi="Times New Roman" w:eastAsia="Times New Roman" w:cs="Times New Roman"/>
      <w:sz w:val="24"/>
      <w:szCs w:val="24"/>
      <w:lang w:val="ru-RU" w:eastAsia="ru-RU" w:bidi="ar-SA"/>
    </w:rPr>
  </w:style>
  <w:style w:type="paragraph" w:customStyle="1" w:styleId="11">
    <w:name w:val="Основной текст (2)"/>
    <w:basedOn w:val="1"/>
    <w:qFormat/>
    <w:uiPriority w:val="0"/>
    <w:pPr>
      <w:widowControl w:val="0"/>
      <w:shd w:val="clear" w:color="auto" w:fill="FFFFFF"/>
      <w:spacing w:after="420" w:line="250" w:lineRule="exact"/>
      <w:jc w:val="center"/>
    </w:pPr>
    <w:rPr>
      <w:rFonts w:ascii="Times New Roman" w:hAnsi="Times New Roman" w:eastAsia="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43D1B-A1A9-4022-8EA9-ADF415C790D5}">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1090</Words>
  <Characters>6219</Characters>
  <Lines>51</Lines>
  <Paragraphs>14</Paragraphs>
  <TotalTime>0</TotalTime>
  <ScaleCrop>false</ScaleCrop>
  <LinksUpToDate>false</LinksUpToDate>
  <CharactersWithSpaces>7295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2025-11-13T07:42:00Z</dcterms:created>
  <dc:creator>Мария Булавко</dc:creator>
  <cp:lastModifiedBy>User</cp:lastModifiedBy>
  <cp:lastPrinted>2025-11-13T20:28:00Z</cp:lastPrinted>
  <dcterms:modified xsi:type="dcterms:W3CDTF">2025-11-14T09:11:41Z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C8A47C3EA3394D3D8A2BAFDFDEAD5EC0_13</vt:lpwstr>
  </property>
</Properties>
</file>